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Pr>
        <w:pStyle w:val="2"/>
        <w:bidi w:val="0"/>
        <w:jc w:val="both"/>
        <w:rPr>
          <w:rFonts w:hint="eastAsia"/>
          <w:sz w:val="48"/>
          <w:szCs w:val="28"/>
          <w:lang w:val="en-US" w:eastAsia="zh-CN"/>
        </w:rPr>
      </w:pPr>
    </w:p>
    <w:p>
      <w:pPr>
        <w:pStyle w:val="2"/>
        <w:bidi w:val="0"/>
        <w:jc w:val="center"/>
        <w:rPr>
          <w:rFonts w:hint="eastAsia"/>
          <w:sz w:val="48"/>
          <w:szCs w:val="28"/>
          <w:u w:val="none"/>
          <w:lang w:val="en-US" w:eastAsia="zh-CN"/>
        </w:rPr>
      </w:pPr>
      <w:r>
        <w:rPr>
          <w:rFonts w:hint="eastAsia"/>
          <w:sz w:val="48"/>
          <w:szCs w:val="28"/>
          <w:lang w:val="en-US" w:eastAsia="zh-CN"/>
        </w:rPr>
        <w:t>气体探测器及控制器安装规范</w:t>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jc w:val="center"/>
        <w:rPr>
          <w:rFonts w:hint="default"/>
          <w:lang w:val="en-US" w:eastAsia="zh-CN"/>
        </w:rPr>
      </w:pPr>
    </w:p>
    <w:p>
      <w:pPr>
        <w:jc w:val="left"/>
        <w:rPr>
          <w:rFonts w:hint="default"/>
          <w:lang w:val="en-US" w:eastAsia="zh-CN"/>
        </w:rPr>
      </w:pPr>
    </w:p>
    <w:p>
      <w:pPr>
        <w:jc w:val="left"/>
        <w:rPr>
          <w:rFonts w:hint="default"/>
          <w:lang w:val="en-US" w:eastAsia="zh-CN"/>
        </w:rPr>
      </w:pPr>
    </w:p>
    <w:p>
      <w:pPr>
        <w:jc w:val="left"/>
        <w:rPr>
          <w:rFonts w:hint="default"/>
          <w:lang w:val="en-US" w:eastAsia="zh-CN"/>
        </w:rPr>
      </w:pPr>
    </w:p>
    <w:p>
      <w:pPr>
        <w:jc w:val="left"/>
        <w:rPr>
          <w:rFonts w:hint="default"/>
          <w:lang w:val="en-US" w:eastAsia="zh-CN"/>
        </w:rPr>
      </w:pPr>
    </w:p>
    <w:p>
      <w:pPr>
        <w:jc w:val="left"/>
        <w:rPr>
          <w:rFonts w:hint="default"/>
          <w:lang w:val="en-US" w:eastAsia="zh-CN"/>
        </w:rPr>
      </w:pPr>
    </w:p>
    <w:p>
      <w:pPr>
        <w:jc w:val="left"/>
        <w:rPr>
          <w:rFonts w:hint="default"/>
          <w:lang w:val="en-US" w:eastAsia="zh-CN"/>
        </w:rPr>
      </w:pPr>
    </w:p>
    <w:p>
      <w:pPr>
        <w:ind w:firstLine="1680" w:firstLineChars="600"/>
        <w:jc w:val="left"/>
        <w:rPr>
          <w:rFonts w:hint="eastAsia"/>
          <w:sz w:val="28"/>
          <w:szCs w:val="36"/>
          <w:u w:val="single"/>
          <w:lang w:val="en-US" w:eastAsia="zh-CN"/>
        </w:rPr>
      </w:pPr>
      <w:r>
        <w:rPr>
          <w:rFonts w:hint="eastAsia"/>
          <w:sz w:val="28"/>
          <w:szCs w:val="36"/>
          <w:lang w:val="en-US" w:eastAsia="zh-CN"/>
        </w:rPr>
        <w:t>编制：</w:t>
      </w:r>
      <w:r>
        <w:rPr>
          <w:rFonts w:hint="eastAsia"/>
          <w:sz w:val="28"/>
          <w:szCs w:val="36"/>
          <w:u w:val="single"/>
          <w:lang w:val="en-US" w:eastAsia="zh-CN"/>
        </w:rPr>
        <w:t xml:space="preserve">                        </w:t>
      </w:r>
    </w:p>
    <w:p>
      <w:pPr>
        <w:ind w:firstLine="1680" w:firstLineChars="600"/>
        <w:jc w:val="left"/>
        <w:rPr>
          <w:rFonts w:hint="default"/>
          <w:sz w:val="28"/>
          <w:szCs w:val="36"/>
          <w:u w:val="single"/>
          <w:lang w:val="en-US" w:eastAsia="zh-CN"/>
        </w:rPr>
      </w:pPr>
      <w:r>
        <w:rPr>
          <w:rFonts w:hint="eastAsia"/>
          <w:sz w:val="28"/>
          <w:szCs w:val="36"/>
          <w:u w:val="none"/>
          <w:lang w:val="en-US" w:eastAsia="zh-CN"/>
        </w:rPr>
        <w:t>审批：</w:t>
      </w:r>
      <w:r>
        <w:rPr>
          <w:rFonts w:hint="eastAsia"/>
          <w:sz w:val="28"/>
          <w:szCs w:val="36"/>
          <w:u w:val="single"/>
          <w:lang w:val="en-US" w:eastAsia="zh-CN"/>
        </w:rPr>
        <w:t xml:space="preserve">                        </w:t>
      </w:r>
    </w:p>
    <w:p>
      <w:pPr>
        <w:ind w:firstLine="1680" w:firstLineChars="600"/>
        <w:jc w:val="left"/>
        <w:rPr>
          <w:rFonts w:hint="eastAsia"/>
          <w:i w:val="0"/>
          <w:iCs w:val="0"/>
          <w:sz w:val="28"/>
          <w:szCs w:val="36"/>
          <w:u w:val="single"/>
          <w:lang w:val="en-US" w:eastAsia="zh-CN"/>
        </w:rPr>
      </w:pPr>
      <w:r>
        <w:rPr>
          <w:rFonts w:hint="eastAsia"/>
          <w:i w:val="0"/>
          <w:iCs w:val="0"/>
          <w:sz w:val="28"/>
          <w:szCs w:val="36"/>
          <w:u w:val="none"/>
          <w:lang w:val="en-US" w:eastAsia="zh-CN"/>
        </w:rPr>
        <w:t>部门：</w:t>
      </w:r>
      <w:r>
        <w:rPr>
          <w:rFonts w:hint="eastAsia"/>
          <w:i w:val="0"/>
          <w:iCs w:val="0"/>
          <w:sz w:val="28"/>
          <w:szCs w:val="36"/>
          <w:u w:val="single"/>
          <w:lang w:val="en-US" w:eastAsia="zh-CN"/>
        </w:rPr>
        <w:t xml:space="preserve">                        </w:t>
      </w:r>
    </w:p>
    <w:p>
      <w:pPr>
        <w:ind w:firstLine="1680" w:firstLineChars="600"/>
        <w:jc w:val="left"/>
        <w:rPr>
          <w:rFonts w:hint="default"/>
          <w:i w:val="0"/>
          <w:iCs w:val="0"/>
          <w:sz w:val="28"/>
          <w:szCs w:val="36"/>
          <w:u w:val="single"/>
          <w:lang w:val="en-US" w:eastAsia="zh-CN"/>
        </w:rPr>
      </w:pPr>
    </w:p>
    <w:p>
      <w:pPr>
        <w:jc w:val="center"/>
        <w:rPr>
          <w:rFonts w:hint="eastAsia"/>
          <w:i w:val="0"/>
          <w:iCs w:val="0"/>
          <w:sz w:val="48"/>
          <w:szCs w:val="56"/>
          <w:u w:val="none"/>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191135</wp:posOffset>
                </wp:positionH>
                <wp:positionV relativeFrom="paragraph">
                  <wp:posOffset>168910</wp:posOffset>
                </wp:positionV>
                <wp:extent cx="4848860" cy="34925"/>
                <wp:effectExtent l="0" t="4445" r="8890" b="17780"/>
                <wp:wrapNone/>
                <wp:docPr id="1" name="直接连接符 1"/>
                <wp:cNvGraphicFramePr/>
                <a:graphic xmlns:a="http://schemas.openxmlformats.org/drawingml/2006/main">
                  <a:graphicData uri="http://schemas.microsoft.com/office/word/2010/wordprocessingShape">
                    <wps:wsp>
                      <wps:cNvCnPr/>
                      <wps:spPr>
                        <a:xfrm flipV="1">
                          <a:off x="0" y="0"/>
                          <a:ext cx="4848860" cy="3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5.05pt;margin-top:13.3pt;height:2.75pt;width:381.8pt;z-index:251659264;mso-width-relative:page;mso-height-relative:page;" filled="f" stroked="t" coordsize="21600,21600" o:gfxdata="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G&#10;zaOz1gAAAAgBAAAPAAAAAAAAAAEAIAAAACIAAABkcnMvZG93bnJldi54bWxQSwECFAAUAAAACACH&#10;TuJA0Z6YaO0BAAC/AwAADgAAAAAAAAABACAAAAAlAQAAZHJzL2Uyb0RvYy54bWxQSwUGAAAAAAYA&#10;BgBZAQAAhAUAAAAA&#10;">
                <v:fill on="f" focussize="0,0"/>
                <v:stroke weight="0.5pt" color="#000000 [3200]" miterlimit="8" joinstyle="miter"/>
                <v:imagedata o:title=""/>
                <o:lock v:ext="edit" aspectratio="f"/>
              </v:line>
            </w:pict>
          </mc:Fallback>
        </mc:AlternateContent>
      </w:r>
    </w:p>
    <w:p>
      <w:pPr>
        <w:jc w:val="center"/>
        <w:rPr>
          <w:rFonts w:hint="eastAsia"/>
          <w:i w:val="0"/>
          <w:iCs w:val="0"/>
          <w:sz w:val="48"/>
          <w:szCs w:val="56"/>
          <w:u w:val="none"/>
          <w:lang w:val="en-US" w:eastAsia="zh-CN"/>
        </w:rPr>
      </w:pPr>
      <w:r>
        <w:rPr>
          <w:rFonts w:hint="eastAsia"/>
          <w:i w:val="0"/>
          <w:iCs w:val="0"/>
          <w:sz w:val="48"/>
          <w:szCs w:val="56"/>
          <w:u w:val="none"/>
          <w:lang w:val="en-US" w:eastAsia="zh-CN"/>
        </w:rPr>
        <w:t>山东精智信息科技有限公司</w:t>
      </w:r>
    </w:p>
    <w:p>
      <w:pPr>
        <w:jc w:val="center"/>
        <w:rPr>
          <w:rFonts w:hint="eastAsia"/>
          <w:i w:val="0"/>
          <w:iCs w:val="0"/>
          <w:sz w:val="48"/>
          <w:szCs w:val="56"/>
          <w:u w:val="none"/>
          <w:lang w:val="en-US" w:eastAsia="zh-CN"/>
        </w:rPr>
      </w:pPr>
    </w:p>
    <w:p>
      <w:pPr>
        <w:jc w:val="center"/>
        <w:rPr>
          <w:rFonts w:hint="default"/>
          <w:i w:val="0"/>
          <w:iCs w:val="0"/>
          <w:sz w:val="36"/>
          <w:szCs w:val="44"/>
          <w:u w:val="none"/>
          <w:lang w:val="en-US" w:eastAsia="zh-CN"/>
        </w:rPr>
        <w:sectPr>
          <w:headerReference r:id="rId3" w:type="default"/>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469" w:beforeLines="150"/>
        <w:jc w:val="center"/>
        <w:textAlignment w:val="auto"/>
        <w:rPr>
          <w:rFonts w:hint="eastAsia"/>
          <w:b/>
          <w:bCs/>
          <w:i w:val="0"/>
          <w:iCs w:val="0"/>
          <w:sz w:val="40"/>
          <w:szCs w:val="48"/>
          <w:u w:val="none"/>
          <w:lang w:val="en-US" w:eastAsia="zh-CN"/>
        </w:rPr>
      </w:pPr>
      <w:r>
        <w:rPr>
          <w:rFonts w:hint="default"/>
          <w:b/>
          <w:bCs/>
          <w:i w:val="0"/>
          <w:iCs w:val="0"/>
          <w:sz w:val="40"/>
          <w:szCs w:val="48"/>
          <w:u w:val="none"/>
          <w:lang w:val="en-US" w:eastAsia="zh-CN"/>
        </w:rPr>
        <w:t>可燃气体探测器安装规范</w:t>
      </w:r>
      <w:r>
        <w:rPr>
          <w:rFonts w:hint="eastAsia"/>
          <w:b/>
          <w:bCs/>
          <w:i w:val="0"/>
          <w:iCs w:val="0"/>
          <w:sz w:val="40"/>
          <w:szCs w:val="48"/>
          <w:u w:val="none"/>
          <w:lang w:val="en-US" w:eastAsia="zh-CN"/>
        </w:rPr>
        <w:t>：</w:t>
      </w:r>
    </w:p>
    <w:p>
      <w:pPr>
        <w:jc w:val="both"/>
        <w:rPr>
          <w:rFonts w:hint="default"/>
          <w:i w:val="0"/>
          <w:iCs w:val="0"/>
          <w:sz w:val="28"/>
          <w:szCs w:val="36"/>
          <w:u w:val="none"/>
          <w:lang w:val="en-US" w:eastAsia="zh-C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i w:val="0"/>
          <w:iCs w:val="0"/>
          <w:sz w:val="28"/>
          <w:szCs w:val="36"/>
          <w:u w:val="none"/>
          <w:lang w:val="en-US" w:eastAsia="zh-CN"/>
        </w:rPr>
      </w:pPr>
      <w:r>
        <w:rPr>
          <w:rFonts w:hint="default"/>
          <w:i w:val="0"/>
          <w:iCs w:val="0"/>
          <w:sz w:val="28"/>
          <w:szCs w:val="36"/>
          <w:u w:val="none"/>
          <w:lang w:val="en-US" w:eastAsia="zh-CN"/>
        </w:rPr>
        <w:t>1可燃气体检测探头选点应选择阀门管道接口、出气口或易泄漏处附近方圆1米的范围内，尽可能靠近，但不要影响其</w:t>
      </w:r>
      <w:r>
        <w:rPr>
          <w:rFonts w:hint="eastAsia"/>
          <w:i w:val="0"/>
          <w:iCs w:val="0"/>
          <w:sz w:val="28"/>
          <w:szCs w:val="36"/>
          <w:u w:val="none"/>
          <w:lang w:val="en-US" w:eastAsia="zh-CN"/>
        </w:rPr>
        <w:t>它</w:t>
      </w:r>
      <w:r>
        <w:rPr>
          <w:rFonts w:hint="default"/>
          <w:i w:val="0"/>
          <w:iCs w:val="0"/>
          <w:sz w:val="28"/>
          <w:szCs w:val="36"/>
          <w:u w:val="none"/>
          <w:lang w:val="en-US" w:eastAsia="zh-CN"/>
        </w:rPr>
        <w:t>设备操作，同时尽量避免高温、高湿环境。</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i w:val="0"/>
          <w:iCs w:val="0"/>
          <w:sz w:val="28"/>
          <w:szCs w:val="36"/>
          <w:u w:val="none"/>
          <w:lang w:val="en-US" w:eastAsia="zh-CN"/>
        </w:rPr>
      </w:pPr>
      <w:r>
        <w:rPr>
          <w:rFonts w:hint="default"/>
          <w:i w:val="0"/>
          <w:iCs w:val="0"/>
          <w:sz w:val="28"/>
          <w:szCs w:val="36"/>
          <w:u w:val="none"/>
          <w:lang w:val="en-US" w:eastAsia="zh-CN"/>
        </w:rPr>
        <w:t>2可燃气体检测探头用于大面</w:t>
      </w:r>
      <w:r>
        <w:rPr>
          <w:rFonts w:hint="eastAsia"/>
          <w:i w:val="0"/>
          <w:iCs w:val="0"/>
          <w:sz w:val="28"/>
          <w:szCs w:val="36"/>
          <w:u w:val="none"/>
          <w:lang w:val="en-US" w:eastAsia="zh-CN"/>
        </w:rPr>
        <w:t>积气体</w:t>
      </w:r>
      <w:r>
        <w:rPr>
          <w:rFonts w:hint="default"/>
          <w:i w:val="0"/>
          <w:iCs w:val="0"/>
          <w:sz w:val="28"/>
          <w:szCs w:val="36"/>
          <w:u w:val="none"/>
          <w:lang w:val="en-US" w:eastAsia="zh-CN"/>
        </w:rPr>
        <w:t>检测时可采用 10-12平方米一个探头布置</w:t>
      </w:r>
      <w:r>
        <w:rPr>
          <w:rFonts w:hint="eastAsia"/>
          <w:i w:val="0"/>
          <w:iCs w:val="0"/>
          <w:sz w:val="28"/>
          <w:szCs w:val="36"/>
          <w:u w:val="none"/>
          <w:lang w:val="en-US" w:eastAsia="zh-CN"/>
        </w:rPr>
        <w:t>，</w:t>
      </w:r>
      <w:r>
        <w:rPr>
          <w:rFonts w:hint="default"/>
          <w:i w:val="0"/>
          <w:iCs w:val="0"/>
          <w:sz w:val="28"/>
          <w:szCs w:val="36"/>
          <w:u w:val="none"/>
          <w:lang w:val="en-US" w:eastAsia="zh-CN"/>
        </w:rPr>
        <w:t>也可达到检测报警效果。</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i w:val="0"/>
          <w:iCs w:val="0"/>
          <w:sz w:val="28"/>
          <w:szCs w:val="36"/>
          <w:u w:val="none"/>
          <w:lang w:val="en-US" w:eastAsia="zh-CN"/>
        </w:rPr>
      </w:pPr>
      <w:r>
        <w:rPr>
          <w:rFonts w:hint="default"/>
          <w:i w:val="0"/>
          <w:iCs w:val="0"/>
          <w:sz w:val="28"/>
          <w:szCs w:val="36"/>
          <w:u w:val="none"/>
          <w:lang w:val="en-US" w:eastAsia="zh-CN"/>
        </w:rPr>
        <w:t>3可然气体检测探头安装方式可采用房顶吊装、墙壁安装</w:t>
      </w:r>
      <w:r>
        <w:rPr>
          <w:rFonts w:hint="eastAsia"/>
          <w:i w:val="0"/>
          <w:iCs w:val="0"/>
          <w:sz w:val="28"/>
          <w:szCs w:val="36"/>
          <w:u w:val="none"/>
          <w:lang w:val="en-US" w:eastAsia="zh-CN"/>
        </w:rPr>
        <w:t>或</w:t>
      </w:r>
      <w:r>
        <w:rPr>
          <w:rFonts w:hint="default"/>
          <w:i w:val="0"/>
          <w:iCs w:val="0"/>
          <w:sz w:val="28"/>
          <w:szCs w:val="36"/>
          <w:u w:val="none"/>
          <w:lang w:val="en-US" w:eastAsia="zh-CN"/>
        </w:rPr>
        <w:t>抱管安装，应确保安装</w:t>
      </w:r>
      <w:r>
        <w:rPr>
          <w:rFonts w:hint="eastAsia"/>
          <w:i w:val="0"/>
          <w:iCs w:val="0"/>
          <w:sz w:val="28"/>
          <w:szCs w:val="36"/>
          <w:u w:val="none"/>
          <w:lang w:val="en-US" w:eastAsia="zh-CN"/>
        </w:rPr>
        <w:t>牢</w:t>
      </w:r>
      <w:r>
        <w:rPr>
          <w:rFonts w:hint="default"/>
          <w:i w:val="0"/>
          <w:iCs w:val="0"/>
          <w:sz w:val="28"/>
          <w:szCs w:val="36"/>
          <w:u w:val="none"/>
          <w:lang w:val="en-US" w:eastAsia="zh-CN"/>
        </w:rPr>
        <w:t>固可靠，同时应考虑便于维护、标定。</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i w:val="0"/>
          <w:iCs w:val="0"/>
          <w:sz w:val="28"/>
          <w:szCs w:val="36"/>
          <w:u w:val="none"/>
          <w:lang w:val="en-US" w:eastAsia="zh-CN"/>
        </w:rPr>
      </w:pPr>
      <w:r>
        <w:rPr>
          <w:rFonts w:hint="default"/>
          <w:i w:val="0"/>
          <w:iCs w:val="0"/>
          <w:sz w:val="28"/>
          <w:szCs w:val="36"/>
          <w:u w:val="none"/>
          <w:lang w:val="en-US" w:eastAsia="zh-CN"/>
        </w:rPr>
        <w:t>4 可燃气体检测探头安装高度：检测氢气、天然气、城市煤气等比重小于空气的气体时，采用距屋顶1米左右安装，检测液化</w:t>
      </w:r>
      <w:r>
        <w:rPr>
          <w:rFonts w:hint="eastAsia"/>
          <w:i w:val="0"/>
          <w:iCs w:val="0"/>
          <w:sz w:val="28"/>
          <w:szCs w:val="36"/>
          <w:u w:val="none"/>
          <w:lang w:val="en-US" w:eastAsia="zh-CN"/>
        </w:rPr>
        <w:t>石</w:t>
      </w:r>
      <w:r>
        <w:rPr>
          <w:rFonts w:hint="default"/>
          <w:i w:val="0"/>
          <w:iCs w:val="0"/>
          <w:sz w:val="28"/>
          <w:szCs w:val="36"/>
          <w:u w:val="none"/>
          <w:lang w:val="en-US" w:eastAsia="zh-CN"/>
        </w:rPr>
        <w:t>油气等比重大于空气的气体时，采用距地面</w:t>
      </w:r>
      <w:r>
        <w:rPr>
          <w:rFonts w:hint="eastAsia"/>
          <w:i w:val="0"/>
          <w:iCs w:val="0"/>
          <w:sz w:val="28"/>
          <w:szCs w:val="36"/>
          <w:u w:val="none"/>
          <w:lang w:val="en-US" w:eastAsia="zh-CN"/>
        </w:rPr>
        <w:t>60-80厘米</w:t>
      </w:r>
      <w:bookmarkStart w:id="0" w:name="_GoBack"/>
      <w:bookmarkEnd w:id="0"/>
      <w:r>
        <w:rPr>
          <w:rFonts w:hint="default"/>
          <w:i w:val="0"/>
          <w:iCs w:val="0"/>
          <w:sz w:val="28"/>
          <w:szCs w:val="36"/>
          <w:u w:val="none"/>
          <w:lang w:val="en-US" w:eastAsia="zh-CN"/>
        </w:rPr>
        <w:t>左右安装。</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i w:val="0"/>
          <w:iCs w:val="0"/>
          <w:sz w:val="28"/>
          <w:szCs w:val="36"/>
          <w:u w:val="none"/>
          <w:lang w:val="en-US" w:eastAsia="zh-CN"/>
        </w:rPr>
      </w:pPr>
      <w:r>
        <w:rPr>
          <w:rFonts w:hint="default"/>
          <w:i w:val="0"/>
          <w:iCs w:val="0"/>
          <w:sz w:val="28"/>
          <w:szCs w:val="36"/>
          <w:u w:val="none"/>
          <w:lang w:val="en-US" w:eastAsia="zh-CN"/>
        </w:rPr>
        <w:t>5 可燃气体检测探头布线应采用三芯屏蔽电缆，单根线径大于1平方毫米，接线时屏蔽层必须接地。</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i w:val="0"/>
          <w:iCs w:val="0"/>
          <w:sz w:val="28"/>
          <w:szCs w:val="36"/>
          <w:u w:val="none"/>
          <w:lang w:val="en-US" w:eastAsia="zh-CN"/>
        </w:rPr>
      </w:pPr>
      <w:r>
        <w:rPr>
          <w:rFonts w:hint="default"/>
          <w:i w:val="0"/>
          <w:iCs w:val="0"/>
          <w:sz w:val="28"/>
          <w:szCs w:val="36"/>
          <w:u w:val="none"/>
          <w:lang w:val="en-US" w:eastAsia="zh-CN"/>
        </w:rPr>
        <w:t>6 可燃气休检测探头现场走线应穿管，所用管子应符合消防要求，管子应与探头连接，以达到消防要求，</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i w:val="0"/>
          <w:iCs w:val="0"/>
          <w:sz w:val="28"/>
          <w:szCs w:val="36"/>
          <w:u w:val="none"/>
          <w:lang w:val="en-US" w:eastAsia="zh-CN"/>
        </w:rPr>
      </w:pPr>
      <w:r>
        <w:rPr>
          <w:rFonts w:hint="default"/>
          <w:i w:val="0"/>
          <w:iCs w:val="0"/>
          <w:sz w:val="28"/>
          <w:szCs w:val="36"/>
          <w:u w:val="none"/>
          <w:lang w:val="en-US" w:eastAsia="zh-CN"/>
        </w:rPr>
        <w:t>7 可然气体检调探头安装时应传感器朝下固定。</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i w:val="0"/>
          <w:iCs w:val="0"/>
          <w:sz w:val="28"/>
          <w:szCs w:val="36"/>
          <w:u w:val="none"/>
          <w:lang w:val="en-US" w:eastAsia="zh-CN"/>
        </w:rPr>
      </w:pPr>
      <w:r>
        <w:rPr>
          <w:rFonts w:hint="default"/>
          <w:i w:val="0"/>
          <w:iCs w:val="0"/>
          <w:sz w:val="28"/>
          <w:szCs w:val="36"/>
          <w:u w:val="none"/>
          <w:lang w:val="en-US" w:eastAsia="zh-CN"/>
        </w:rPr>
        <w:t>8可燃气体检测探头应在断电情况下接线，确定接线正确后通电；应在确定现场无可燃气泄漏情况下，开盖调试探头。</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i w:val="0"/>
          <w:iCs w:val="0"/>
          <w:sz w:val="28"/>
          <w:szCs w:val="36"/>
          <w:u w:val="none"/>
          <w:lang w:val="en-US" w:eastAsia="zh-CN"/>
        </w:rPr>
      </w:pPr>
      <w:r>
        <w:rPr>
          <w:rFonts w:hint="default"/>
          <w:i w:val="0"/>
          <w:iCs w:val="0"/>
          <w:sz w:val="28"/>
          <w:szCs w:val="36"/>
          <w:u w:val="none"/>
          <w:lang w:val="en-US" w:eastAsia="zh-CN"/>
        </w:rPr>
        <w:t>9可燃气体检测探头应至少每年标定一次，以确保检测精度。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i w:val="0"/>
          <w:iCs w:val="0"/>
          <w:caps w:val="0"/>
          <w:color w:val="auto"/>
          <w:spacing w:val="0"/>
          <w:sz w:val="36"/>
          <w:szCs w:val="36"/>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right="0"/>
        <w:jc w:val="center"/>
        <w:textAlignment w:val="auto"/>
        <w:rPr>
          <w:rFonts w:hint="eastAsia" w:asciiTheme="minorEastAsia" w:hAnsiTheme="minorEastAsia" w:eastAsiaTheme="minorEastAsia" w:cstheme="minorEastAsia"/>
          <w:i w:val="0"/>
          <w:iCs w:val="0"/>
          <w:caps w:val="0"/>
          <w:color w:val="auto"/>
          <w:spacing w:val="0"/>
          <w:sz w:val="44"/>
          <w:szCs w:val="44"/>
          <w:shd w:val="clear" w:fill="FFFFFF"/>
        </w:rPr>
      </w:pPr>
      <w:r>
        <w:rPr>
          <w:rFonts w:hint="eastAsia" w:asciiTheme="minorEastAsia" w:hAnsiTheme="minorEastAsia" w:eastAsiaTheme="minorEastAsia" w:cstheme="minorEastAsia"/>
          <w:i w:val="0"/>
          <w:iCs w:val="0"/>
          <w:caps w:val="0"/>
          <w:color w:val="auto"/>
          <w:spacing w:val="0"/>
          <w:sz w:val="44"/>
          <w:szCs w:val="44"/>
          <w:shd w:val="clear" w:fill="FFFFFF"/>
        </w:rPr>
        <w:t>有毒气体检测仪报警点设置确定原则</w:t>
      </w:r>
    </w:p>
    <w:p>
      <w:pPr>
        <w:keepNext w:val="0"/>
        <w:keepLines w:val="0"/>
        <w:pageBreakBefore w:val="0"/>
        <w:kinsoku/>
        <w:wordWrap/>
        <w:overflowPunct/>
        <w:topLinePunct w:val="0"/>
        <w:autoSpaceDE/>
        <w:autoSpaceDN/>
        <w:bidi w:val="0"/>
        <w:adjustRightInd/>
        <w:snapToGrid/>
        <w:spacing w:line="360" w:lineRule="auto"/>
        <w:textAlignment w:val="auto"/>
        <w:rPr>
          <w:rFonts w:hint="eastAsia"/>
          <w:sz w:val="44"/>
          <w:szCs w:val="44"/>
        </w:rPr>
      </w:pP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360" w:right="0" w:hanging="360"/>
        <w:jc w:val="left"/>
        <w:textAlignment w:val="auto"/>
        <w:rPr>
          <w:rFonts w:hint="eastAsia" w:asciiTheme="minorEastAsia" w:hAnsiTheme="minorEastAsia" w:eastAsiaTheme="minorEastAsia" w:cstheme="minorEastAsia"/>
          <w:i w:val="0"/>
          <w:iCs w:val="0"/>
          <w:caps w:val="0"/>
          <w:color w:val="auto"/>
          <w:spacing w:val="0"/>
          <w:sz w:val="28"/>
          <w:szCs w:val="28"/>
        </w:rPr>
      </w:pPr>
      <w: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t>存在或使用，生产有毒气体，并可能导致劳动者发生急性职业中毒的工业场所，应设有毒气体检测报警点，主要指可能释放高毒、剧毒的工业场所，或可能大量释放或易于聚集的其他有毒气体的工作场所。</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360" w:right="0" w:hanging="360"/>
        <w:jc w:val="left"/>
        <w:textAlignment w:val="auto"/>
        <w:rPr>
          <w:rFonts w:hint="eastAsia" w:asciiTheme="minorEastAsia" w:hAnsiTheme="minorEastAsia" w:eastAsiaTheme="minorEastAsia" w:cstheme="minorEastAsia"/>
          <w:i w:val="0"/>
          <w:iCs w:val="0"/>
          <w:caps w:val="0"/>
          <w:color w:val="auto"/>
          <w:spacing w:val="0"/>
          <w:sz w:val="28"/>
          <w:szCs w:val="28"/>
        </w:rPr>
      </w:pPr>
      <w: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t>检测报警点应设在可能释放有毒气体的释放点附近，如输送泵、压缩机、阀门、法兰、加料口、采样口、储运设备的排水口、有毒液体装卸口或可能</w:t>
      </w:r>
      <w:r>
        <w:rPr>
          <w:sz w:val="28"/>
        </w:rPr>
        <mc:AlternateContent>
          <mc:Choice Requires="wps">
            <w:drawing>
              <wp:anchor distT="0" distB="0" distL="114300" distR="114300" simplePos="0" relativeHeight="251662336" behindDoc="0" locked="0" layoutInCell="1" allowOverlap="1">
                <wp:simplePos x="0" y="0"/>
                <wp:positionH relativeFrom="column">
                  <wp:posOffset>619760</wp:posOffset>
                </wp:positionH>
                <wp:positionV relativeFrom="paragraph">
                  <wp:posOffset>1036955</wp:posOffset>
                </wp:positionV>
                <wp:extent cx="4369435" cy="1773555"/>
                <wp:effectExtent l="0" t="0" r="0" b="0"/>
                <wp:wrapNone/>
                <wp:docPr id="5" name="文本框 5"/>
                <wp:cNvGraphicFramePr/>
                <a:graphic xmlns:a="http://schemas.openxmlformats.org/drawingml/2006/main">
                  <a:graphicData uri="http://schemas.microsoft.com/office/word/2010/wordprocessingShape">
                    <wps:wsp>
                      <wps:cNvSpPr txBox="1"/>
                      <wps:spPr>
                        <a:xfrm rot="19200000">
                          <a:off x="0" y="0"/>
                          <a:ext cx="4369435" cy="17735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color w:val="7F7F7F" w:themeColor="background1" w:themeShade="80"/>
                                <w:sz w:val="144"/>
                                <w:szCs w:val="144"/>
                                <w:lang w:val="en-US" w:eastAsia="zh-CN"/>
                                <w14:textFill>
                                  <w14:solidFill>
                                    <w14:schemeClr w14:val="bg1">
                                      <w14:lumMod w14:val="50000"/>
                                      <w14:alpha w14:val="85000"/>
                                    </w14:schemeClr>
                                  </w14:solidFill>
                                </w14:textFill>
                              </w:rPr>
                            </w:pPr>
                            <w:r>
                              <w:rPr>
                                <w:rFonts w:hint="eastAsia" w:ascii="仿宋" w:hAnsi="仿宋" w:eastAsia="仿宋" w:cs="仿宋"/>
                                <w:color w:val="7F7F7F" w:themeColor="background1" w:themeShade="80"/>
                                <w:sz w:val="144"/>
                                <w:szCs w:val="144"/>
                                <w:lang w:val="en-US" w:eastAsia="zh-CN"/>
                                <w14:textFill>
                                  <w14:solidFill>
                                    <w14:schemeClr w14:val="bg1">
                                      <w14:lumMod w14:val="50000"/>
                                      <w14:alpha w14:val="85000"/>
                                    </w14:schemeClr>
                                  </w14:solidFill>
                                </w14:textFill>
                              </w:rPr>
                              <w:t>精智科技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8pt;margin-top:81.65pt;height:139.65pt;width:344.05pt;rotation:-2621440f;z-index:251662336;mso-width-relative:page;mso-height-relative:page;" filled="f" stroked="f" coordsize="21600,21600" o:gfxdata="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qgYu/2wAAAAoBAAAPAAAAAAAAAAEA&#10;IAAAACIAAABkcnMvZG93bnJldi54bWxQSwECFAAUAAAACACHTuJAaH+ETkUCAAB2BAAADgAAAAAA&#10;AAABACAAAAAqAQAAZHJzL2Uyb0RvYy54bWxQSwUGAAAAAAYABgBZAQAA4QUAAAAA&#10;">
                <v:fill on="f" focussize="0,0"/>
                <v:stroke on="f" weight="0.5pt"/>
                <v:imagedata o:title=""/>
                <o:lock v:ext="edit" aspectratio="f"/>
                <v:textbox>
                  <w:txbxContent>
                    <w:p>
                      <w:pPr>
                        <w:rPr>
                          <w:rFonts w:hint="eastAsia" w:ascii="仿宋" w:hAnsi="仿宋" w:eastAsia="仿宋" w:cs="仿宋"/>
                          <w:color w:val="7F7F7F" w:themeColor="background1" w:themeShade="80"/>
                          <w:sz w:val="144"/>
                          <w:szCs w:val="144"/>
                          <w:lang w:val="en-US" w:eastAsia="zh-CN"/>
                          <w14:textFill>
                            <w14:solidFill>
                              <w14:schemeClr w14:val="bg1">
                                <w14:lumMod w14:val="50000"/>
                                <w14:alpha w14:val="85000"/>
                              </w14:schemeClr>
                            </w14:solidFill>
                          </w14:textFill>
                        </w:rPr>
                      </w:pPr>
                      <w:r>
                        <w:rPr>
                          <w:rFonts w:hint="eastAsia" w:ascii="仿宋" w:hAnsi="仿宋" w:eastAsia="仿宋" w:cs="仿宋"/>
                          <w:color w:val="7F7F7F" w:themeColor="background1" w:themeShade="80"/>
                          <w:sz w:val="144"/>
                          <w:szCs w:val="144"/>
                          <w:lang w:val="en-US" w:eastAsia="zh-CN"/>
                          <w14:textFill>
                            <w14:solidFill>
                              <w14:schemeClr w14:val="bg1">
                                <w14:lumMod w14:val="50000"/>
                                <w14:alpha w14:val="85000"/>
                              </w14:schemeClr>
                            </w14:solidFill>
                          </w14:textFill>
                        </w:rPr>
                        <w:t>精智科技</w:t>
                      </w:r>
                    </w:p>
                  </w:txbxContent>
                </v:textbox>
              </v:shape>
            </w:pict>
          </mc:Fallback>
        </mc:AlternateContent>
      </w:r>
      <w: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t>溢出口、有毒气体填充口及有毒物质设备易损害部位等处。另外，与有毒气体释放源场所相关联并有人员活动的沟道、排污口以及易聚集有毒气体的死角、坑道等也宜设置检测报警点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360" w:right="0" w:hanging="360"/>
        <w:jc w:val="left"/>
        <w:textAlignment w:val="auto"/>
        <w:rPr>
          <w:rFonts w:hint="eastAsia" w:asciiTheme="minorEastAsia" w:hAnsiTheme="minorEastAsia" w:eastAsiaTheme="minorEastAsia" w:cstheme="minorEastAsia"/>
          <w:i w:val="0"/>
          <w:iCs w:val="0"/>
          <w:caps w:val="0"/>
          <w:color w:val="auto"/>
          <w:spacing w:val="0"/>
          <w:sz w:val="28"/>
          <w:szCs w:val="28"/>
        </w:rPr>
      </w:pPr>
      <w: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t> 3. 确定检测报警点时要考虑被测物质的理化性质、毒性、易燃易爆性、气象条件、生产条件职业卫生状况及可能造成事故的严重程度等实现有效报警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360" w:right="0" w:hanging="360"/>
        <w:jc w:val="left"/>
        <w:textAlignment w:val="auto"/>
        <w:rPr>
          <w:rFonts w:hint="eastAsia" w:asciiTheme="minorEastAsia" w:hAnsiTheme="minorEastAsia" w:eastAsiaTheme="minorEastAsia" w:cstheme="minorEastAsia"/>
          <w:i w:val="0"/>
          <w:iCs w:val="0"/>
          <w:caps w:val="0"/>
          <w:color w:val="auto"/>
          <w:spacing w:val="0"/>
          <w:sz w:val="28"/>
          <w:szCs w:val="28"/>
        </w:rPr>
      </w:pPr>
      <w: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t> 4.已知空气中有毒气体浓度或持续超过报警设定值的特殊场所，可不设立固定式有毒气体检测报警点。如因工作需要进入作业场所，有关人员应配备便携式有毒气体检测仪及有效的个体防护用品。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360" w:right="0" w:hanging="360"/>
        <w:jc w:val="left"/>
        <w:textAlignment w:val="auto"/>
        <w:rPr>
          <w:rFonts w:hint="default" w:asciiTheme="minorEastAsia" w:hAnsiTheme="minorEastAsia" w:eastAsiaTheme="minorEastAsia" w:cstheme="minorEastAsia"/>
          <w:i w:val="0"/>
          <w:iCs w:val="0"/>
          <w:caps w:val="0"/>
          <w:color w:val="auto"/>
          <w:spacing w:val="0"/>
          <w:sz w:val="28"/>
          <w:szCs w:val="28"/>
          <w:lang w:val="en-US"/>
        </w:rPr>
      </w:pPr>
      <w: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t>5.一般情况下，应设置有毒气体检测仪的场所，宜采用固定式，当没有必要或不具备设置固定式的条件时，应配置移动式或便携式检测报警仪，另外安全巡检和事故检查也宜使用便携式检测仪</w:t>
      </w:r>
      <w:r>
        <w:rPr>
          <w:rFonts w:hint="eastAsia" w:asciiTheme="minorEastAsia" w:hAnsiTheme="minorEastAsia" w:cstheme="minorEastAsia"/>
          <w:i w:val="0"/>
          <w:iCs w:val="0"/>
          <w:caps w:val="0"/>
          <w:color w:val="auto"/>
          <w:spacing w:val="0"/>
          <w:kern w:val="0"/>
          <w:sz w:val="28"/>
          <w:szCs w:val="28"/>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360" w:right="0" w:hanging="360"/>
        <w:jc w:val="left"/>
        <w:textAlignment w:val="auto"/>
        <w:rPr>
          <w:rFonts w:hint="default" w:asciiTheme="minorEastAsia" w:hAnsiTheme="minorEastAsia" w:eastAsiaTheme="minorEastAsia" w:cstheme="minorEastAsia"/>
          <w:i w:val="0"/>
          <w:iCs w:val="0"/>
          <w:caps w:val="0"/>
          <w:color w:val="auto"/>
          <w:spacing w:val="0"/>
          <w:sz w:val="28"/>
          <w:szCs w:val="28"/>
          <w:lang w:val="en-US"/>
        </w:rPr>
      </w:pPr>
      <w: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t>6.密闭空间有毒气体检测报警点确定参照GBZ/T205的规定执行</w:t>
      </w:r>
      <w:r>
        <w:rPr>
          <w:rFonts w:hint="eastAsia" w:asciiTheme="minorEastAsia" w:hAnsiTheme="minorEastAsia" w:cstheme="minorEastAsia"/>
          <w:i w:val="0"/>
          <w:iCs w:val="0"/>
          <w:caps w:val="0"/>
          <w:color w:val="auto"/>
          <w:spacing w:val="0"/>
          <w:kern w:val="0"/>
          <w:sz w:val="28"/>
          <w:szCs w:val="28"/>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0"/>
        <w:jc w:val="left"/>
        <w:textAlignment w:val="auto"/>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auto"/>
          <w:spacing w:val="0"/>
          <w:sz w:val="36"/>
          <w:szCs w:val="36"/>
        </w:rPr>
      </w:pPr>
      <w:r>
        <w:rPr>
          <w:rFonts w:hint="eastAsia" w:ascii="宋体" w:hAnsi="宋体" w:eastAsia="宋体" w:cs="宋体"/>
          <w:i w:val="0"/>
          <w:iCs w:val="0"/>
          <w:caps w:val="0"/>
          <w:color w:val="auto"/>
          <w:spacing w:val="0"/>
          <w:sz w:val="36"/>
          <w:szCs w:val="36"/>
          <w:shd w:val="clear" w:fill="FFFFFF"/>
        </w:rPr>
        <w:t>气体报警控制器现场安装标准及要求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color w:val="auto"/>
          <w:sz w:val="28"/>
          <w:szCs w:val="28"/>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报警控制器应安装在消防中心、消防值班室、仪表室等有人值班的非防爆场所，严禁安装在防爆场所。控制器的显示操作面板应避开阳光直射，房间内无高温、高湿、尘上、腐蚀性气体；不受振动、冲击等影响。</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0"/>
        <w:jc w:val="left"/>
        <w:textAlignment w:val="auto"/>
        <w:rPr>
          <w:rFonts w:hint="eastAsia" w:ascii="宋体" w:hAnsi="宋体" w:eastAsia="宋体" w:cs="宋体"/>
          <w:i w:val="0"/>
          <w:iCs w:val="0"/>
          <w:caps w:val="0"/>
          <w:color w:val="auto"/>
          <w:spacing w:val="0"/>
          <w:sz w:val="28"/>
          <w:szCs w:val="28"/>
        </w:rPr>
      </w:pPr>
      <w:r>
        <w:rPr>
          <w:sz w:val="28"/>
        </w:rPr>
        <mc:AlternateContent>
          <mc:Choice Requires="wps">
            <w:drawing>
              <wp:anchor distT="0" distB="0" distL="114300" distR="114300" simplePos="0" relativeHeight="251660288" behindDoc="0" locked="0" layoutInCell="1" allowOverlap="1">
                <wp:simplePos x="0" y="0"/>
                <wp:positionH relativeFrom="column">
                  <wp:posOffset>619760</wp:posOffset>
                </wp:positionH>
                <wp:positionV relativeFrom="paragraph">
                  <wp:posOffset>541655</wp:posOffset>
                </wp:positionV>
                <wp:extent cx="4369435" cy="1773555"/>
                <wp:effectExtent l="0" t="0" r="0" b="0"/>
                <wp:wrapNone/>
                <wp:docPr id="4" name="文本框 4"/>
                <wp:cNvGraphicFramePr/>
                <a:graphic xmlns:a="http://schemas.openxmlformats.org/drawingml/2006/main">
                  <a:graphicData uri="http://schemas.microsoft.com/office/word/2010/wordprocessingShape">
                    <wps:wsp>
                      <wps:cNvSpPr txBox="1"/>
                      <wps:spPr>
                        <a:xfrm rot="19200000">
                          <a:off x="1583690" y="4861560"/>
                          <a:ext cx="4369435" cy="17735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color w:val="7F7F7F" w:themeColor="background1" w:themeShade="80"/>
                                <w:sz w:val="144"/>
                                <w:szCs w:val="144"/>
                                <w:lang w:val="en-US" w:eastAsia="zh-CN"/>
                                <w14:textFill>
                                  <w14:solidFill>
                                    <w14:schemeClr w14:val="bg1">
                                      <w14:lumMod w14:val="50000"/>
                                      <w14:alpha w14:val="85000"/>
                                    </w14:schemeClr>
                                  </w14:solidFill>
                                </w14:textFill>
                              </w:rPr>
                            </w:pPr>
                            <w:r>
                              <w:rPr>
                                <w:rFonts w:hint="eastAsia" w:ascii="仿宋" w:hAnsi="仿宋" w:eastAsia="仿宋" w:cs="仿宋"/>
                                <w:color w:val="7F7F7F" w:themeColor="background1" w:themeShade="80"/>
                                <w:sz w:val="144"/>
                                <w:szCs w:val="144"/>
                                <w:lang w:val="en-US" w:eastAsia="zh-CN"/>
                                <w14:textFill>
                                  <w14:solidFill>
                                    <w14:schemeClr w14:val="bg1">
                                      <w14:lumMod w14:val="50000"/>
                                      <w14:alpha w14:val="85000"/>
                                    </w14:schemeClr>
                                  </w14:solidFill>
                                </w14:textFill>
                              </w:rPr>
                              <w:t>精智科技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8pt;margin-top:42.65pt;height:139.65pt;width:344.05pt;rotation:-2621440f;z-index:251660288;mso-width-relative:page;mso-height-relative:page;" filled="f" stroked="f" coordsize="21600,21600" o:gfxdata="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NezzI2gAAAAkBAAAP&#10;AAAAAAAAAAEAIAAAACIAAABkcnMvZG93bnJldi54bWxQSwECFAAUAAAACACHTuJAG9yEE08CAACC&#10;BAAADgAAAAAAAAABACAAAAApAQAAZHJzL2Uyb0RvYy54bWxQSwUGAAAAAAYABgBZAQAA6gUAAAAA&#10;">
                <v:fill on="f" focussize="0,0"/>
                <v:stroke on="f" weight="0.5pt"/>
                <v:imagedata o:title=""/>
                <o:lock v:ext="edit" aspectratio="f"/>
                <v:textbox>
                  <w:txbxContent>
                    <w:p>
                      <w:pPr>
                        <w:rPr>
                          <w:rFonts w:hint="eastAsia" w:ascii="仿宋" w:hAnsi="仿宋" w:eastAsia="仿宋" w:cs="仿宋"/>
                          <w:color w:val="7F7F7F" w:themeColor="background1" w:themeShade="80"/>
                          <w:sz w:val="144"/>
                          <w:szCs w:val="144"/>
                          <w:lang w:val="en-US" w:eastAsia="zh-CN"/>
                          <w14:textFill>
                            <w14:solidFill>
                              <w14:schemeClr w14:val="bg1">
                                <w14:lumMod w14:val="50000"/>
                                <w14:alpha w14:val="85000"/>
                              </w14:schemeClr>
                            </w14:solidFill>
                          </w14:textFill>
                        </w:rPr>
                      </w:pPr>
                      <w:r>
                        <w:rPr>
                          <w:rFonts w:hint="eastAsia" w:ascii="仿宋" w:hAnsi="仿宋" w:eastAsia="仿宋" w:cs="仿宋"/>
                          <w:color w:val="7F7F7F" w:themeColor="background1" w:themeShade="80"/>
                          <w:sz w:val="144"/>
                          <w:szCs w:val="144"/>
                          <w:lang w:val="en-US" w:eastAsia="zh-CN"/>
                          <w14:textFill>
                            <w14:solidFill>
                              <w14:schemeClr w14:val="bg1">
                                <w14:lumMod w14:val="50000"/>
                                <w14:alpha w14:val="85000"/>
                              </w14:schemeClr>
                            </w14:solidFill>
                          </w14:textFill>
                        </w:rPr>
                        <w:t>精智科技</w:t>
                      </w:r>
                    </w:p>
                  </w:txbxContent>
                </v:textbox>
              </v:shape>
            </w:pict>
          </mc:Fallback>
        </mc:AlternateContent>
      </w:r>
      <w:r>
        <w:rPr>
          <w:rFonts w:hint="eastAsia" w:ascii="宋体" w:hAnsi="宋体" w:eastAsia="宋体" w:cs="宋体"/>
          <w:i w:val="0"/>
          <w:iCs w:val="0"/>
          <w:caps w:val="0"/>
          <w:color w:val="auto"/>
          <w:spacing w:val="0"/>
          <w:kern w:val="0"/>
          <w:sz w:val="28"/>
          <w:szCs w:val="28"/>
          <w:shd w:val="clear" w:fill="FFFFFF"/>
          <w:lang w:val="en-US" w:eastAsia="zh-CN" w:bidi="ar"/>
        </w:rPr>
        <w:t>2、报警控制器安装在墙上时，其底边距地面的高度宜为1.3～1.5m，靠近其门轴的侧面距墙不应小于0.5m，正面操作距离不应小于1.2m。</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0"/>
        <w:jc w:val="left"/>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kern w:val="0"/>
          <w:sz w:val="28"/>
          <w:szCs w:val="28"/>
          <w:shd w:val="clear" w:fill="FFFFFF"/>
          <w:lang w:val="en-US" w:eastAsia="zh-CN" w:bidi="ar"/>
        </w:rPr>
        <w:t>3、控制器应安装牢固，不得倾斜。安装在轻质墙上时，应采取加固措施。</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0"/>
        <w:jc w:val="left"/>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kern w:val="0"/>
          <w:sz w:val="28"/>
          <w:szCs w:val="28"/>
          <w:shd w:val="clear" w:fill="FFFFFF"/>
          <w:lang w:val="en-US" w:eastAsia="zh-CN" w:bidi="ar"/>
        </w:rPr>
        <w:t>4、引入控制器的电缆或导线，应符合下列要求：</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0"/>
        <w:jc w:val="left"/>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kern w:val="0"/>
          <w:sz w:val="28"/>
          <w:szCs w:val="28"/>
          <w:shd w:val="clear" w:fill="FFFFFF"/>
          <w:lang w:val="en-US" w:eastAsia="zh-CN" w:bidi="ar"/>
        </w:rPr>
        <w:t>（1）配线应整齐，避免交叉，并应固定牢靠；</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0"/>
        <w:jc w:val="left"/>
        <w:textAlignment w:val="auto"/>
        <w:rPr>
          <w:rFonts w:hint="eastAsia" w:ascii="宋体" w:hAnsi="宋体" w:eastAsia="宋体" w:cs="宋体"/>
          <w:i w:val="0"/>
          <w:iCs w:val="0"/>
          <w:caps w:val="0"/>
          <w:color w:val="auto"/>
          <w:spacing w:val="0"/>
          <w:kern w:val="0"/>
          <w:sz w:val="28"/>
          <w:szCs w:val="28"/>
          <w:shd w:val="clear" w:fill="FFFFFF"/>
          <w:lang w:val="en-US" w:eastAsia="zh-CN" w:bidi="ar"/>
        </w:rPr>
      </w:pPr>
      <w:r>
        <w:rPr>
          <w:rFonts w:hint="eastAsia" w:ascii="宋体" w:hAnsi="宋体" w:eastAsia="宋体" w:cs="宋体"/>
          <w:i w:val="0"/>
          <w:iCs w:val="0"/>
          <w:caps w:val="0"/>
          <w:color w:val="auto"/>
          <w:spacing w:val="0"/>
          <w:kern w:val="0"/>
          <w:sz w:val="28"/>
          <w:szCs w:val="28"/>
          <w:shd w:val="clear" w:fill="FFFFFF"/>
          <w:lang w:val="en-US" w:eastAsia="zh-CN" w:bidi="ar"/>
        </w:rPr>
        <w:t>（2）应标明编号；</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0"/>
        <w:jc w:val="left"/>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kern w:val="0"/>
          <w:sz w:val="28"/>
          <w:szCs w:val="28"/>
          <w:shd w:val="clear" w:fill="FFFFFF"/>
          <w:lang w:val="en-US" w:eastAsia="zh-CN" w:bidi="ar"/>
        </w:rPr>
        <w:t>（3）端子板的每个接线端，接线不得超过2根，盘圈应按顺时针方向；</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0"/>
        <w:jc w:val="left"/>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kern w:val="0"/>
          <w:sz w:val="28"/>
          <w:szCs w:val="28"/>
          <w:shd w:val="clear" w:fill="FFFFFF"/>
          <w:lang w:val="en-US" w:eastAsia="zh-CN" w:bidi="ar"/>
        </w:rPr>
        <w:t>（4）电缆芯和导线，应留有不小于20cm的余量；</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0"/>
        <w:jc w:val="left"/>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kern w:val="0"/>
          <w:sz w:val="28"/>
          <w:szCs w:val="28"/>
          <w:shd w:val="clear" w:fill="FFFFFF"/>
          <w:lang w:val="en-US" w:eastAsia="zh-CN" w:bidi="ar"/>
        </w:rPr>
        <w:t>（5）导线应绑扎成束；</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0"/>
        <w:jc w:val="left"/>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kern w:val="0"/>
          <w:sz w:val="28"/>
          <w:szCs w:val="28"/>
          <w:shd w:val="clear" w:fill="FFFFFF"/>
          <w:lang w:val="en-US" w:eastAsia="zh-CN" w:bidi="ar"/>
        </w:rPr>
        <w:t>（6）导线引入线穿线后，在进线管处应封堵。</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0"/>
        <w:jc w:val="left"/>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kern w:val="0"/>
          <w:sz w:val="28"/>
          <w:szCs w:val="28"/>
          <w:shd w:val="clear" w:fill="FFFFFF"/>
          <w:lang w:val="en-US" w:eastAsia="zh-CN" w:bidi="ar"/>
        </w:rPr>
        <w:t>（7）外壳应可靠接地 ，一般应压接在电源线的Pe线上。</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0"/>
        <w:jc w:val="left"/>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kern w:val="0"/>
          <w:sz w:val="28"/>
          <w:szCs w:val="28"/>
          <w:shd w:val="clear" w:fill="FFFFFF"/>
          <w:lang w:val="en-US" w:eastAsia="zh-CN" w:bidi="ar"/>
        </w:rPr>
        <w:t>5、控制器的主电源引入线，应直接与消防电源连接，主电源应有明显标志。</w:t>
      </w:r>
    </w:p>
    <w:p>
      <w:pPr>
        <w:keepNext w:val="0"/>
        <w:keepLines w:val="0"/>
        <w:widowControl/>
        <w:suppressLineNumbers w:val="0"/>
        <w:shd w:val="clear" w:fill="FFFFFF"/>
        <w:ind w:left="0" w:firstLine="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kern w:val="0"/>
          <w:sz w:val="28"/>
          <w:szCs w:val="28"/>
          <w:shd w:val="clear" w:fill="FFFFFF"/>
          <w:lang w:val="en-US" w:eastAsia="zh-CN" w:bidi="ar"/>
        </w:rPr>
        <w:t>6、电磁场干扰对气体报警控制器及联动控制设备的正常工作影响较大。为保证报警设备正常运行，要求控制室周围不布置干扰场强超过消防控制室承受能力的其他设备。</w:t>
      </w:r>
    </w:p>
    <w:p>
      <w:pPr>
        <w:keepNext w:val="0"/>
        <w:keepLines w:val="0"/>
        <w:widowControl/>
        <w:suppressLineNumbers w:val="0"/>
        <w:shd w:val="clear" w:fill="FFFFFF"/>
        <w:ind w:left="0" w:firstLine="0"/>
        <w:jc w:val="left"/>
        <w:rPr>
          <w:rFonts w:hint="eastAsia" w:ascii="宋体" w:hAnsi="宋体" w:eastAsia="宋体" w:cs="宋体"/>
          <w:i w:val="0"/>
          <w:iCs w:val="0"/>
          <w:caps w:val="0"/>
          <w:color w:val="auto"/>
          <w:spacing w:val="0"/>
          <w:kern w:val="0"/>
          <w:sz w:val="28"/>
          <w:szCs w:val="28"/>
          <w:shd w:val="clear" w:fill="FFFFFF"/>
          <w:lang w:val="en-US" w:eastAsia="zh-CN" w:bidi="ar"/>
        </w:rPr>
      </w:pPr>
      <w:r>
        <w:rPr>
          <w:rFonts w:hint="eastAsia" w:ascii="宋体" w:hAnsi="宋体" w:eastAsia="宋体" w:cs="宋体"/>
          <w:i w:val="0"/>
          <w:iCs w:val="0"/>
          <w:caps w:val="0"/>
          <w:color w:val="auto"/>
          <w:spacing w:val="0"/>
          <w:kern w:val="0"/>
          <w:sz w:val="28"/>
          <w:szCs w:val="28"/>
          <w:shd w:val="clear" w:fill="FFFFFF"/>
          <w:lang w:val="en-US" w:eastAsia="zh-CN" w:bidi="ar"/>
        </w:rPr>
        <w:t>7、控制器的接地，应牢固，并有明显标志。</w:t>
      </w:r>
    </w:p>
    <w:p>
      <w:pPr>
        <w:keepNext w:val="0"/>
        <w:keepLines w:val="0"/>
        <w:widowControl/>
        <w:suppressLineNumbers w:val="0"/>
        <w:shd w:val="clear" w:fill="FFFFFF"/>
        <w:ind w:left="0" w:firstLine="0"/>
        <w:jc w:val="left"/>
        <w:rPr>
          <w:rFonts w:hint="eastAsia" w:ascii="宋体" w:hAnsi="宋体" w:eastAsia="宋体" w:cs="宋体"/>
          <w:i w:val="0"/>
          <w:iCs w:val="0"/>
          <w:caps w:val="0"/>
          <w:color w:val="auto"/>
          <w:spacing w:val="0"/>
          <w:kern w:val="0"/>
          <w:sz w:val="28"/>
          <w:szCs w:val="28"/>
          <w:shd w:val="clear" w:fill="FFFFFF"/>
          <w:lang w:val="en-US" w:eastAsia="zh-CN" w:bidi="ar"/>
        </w:rPr>
      </w:pPr>
    </w:p>
    <w:p>
      <w:pPr>
        <w:jc w:val="both"/>
        <w:rPr>
          <w:rFonts w:hint="default"/>
          <w:i w:val="0"/>
          <w:iCs w:val="0"/>
          <w:color w:val="auto"/>
          <w:sz w:val="28"/>
          <w:szCs w:val="28"/>
          <w:u w:val="none"/>
          <w:lang w:val="en-US"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sz w:val="20"/>
        <w:szCs w:val="28"/>
        <w:lang w:val="en-US" w:eastAsia="zh-CN"/>
      </w:rPr>
    </w:pPr>
    <w:r>
      <w:rPr>
        <w:rFonts w:hint="eastAsia"/>
        <w:sz w:val="20"/>
        <w:szCs w:val="28"/>
        <w:lang w:val="en-US" w:eastAsia="zh-CN"/>
      </w:rPr>
      <w:t>GIZTAK</w:t>
    </w:r>
  </w:p>
  <w:p>
    <w:pPr>
      <w:pStyle w:val="6"/>
      <w:rPr>
        <w:rFonts w:hint="default"/>
        <w:sz w:val="20"/>
        <w:szCs w:val="28"/>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193675</wp:posOffset>
              </wp:positionV>
              <wp:extent cx="5280660" cy="10160"/>
              <wp:effectExtent l="0" t="4445" r="15240" b="13970"/>
              <wp:wrapNone/>
              <wp:docPr id="2" name="直接连接符 2"/>
              <wp:cNvGraphicFramePr/>
              <a:graphic xmlns:a="http://schemas.openxmlformats.org/drawingml/2006/main">
                <a:graphicData uri="http://schemas.microsoft.com/office/word/2010/wordprocessingShape">
                  <wps:wsp>
                    <wps:cNvCnPr/>
                    <wps:spPr>
                      <a:xfrm>
                        <a:off x="1150620" y="901700"/>
                        <a:ext cx="5280660" cy="10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15.25pt;height:0.8pt;width:415.8pt;z-index:251659264;mso-width-relative:page;mso-height-relative:page;" filled="f" stroked="t" coordsize="21600,21600" o:gfxdata="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j+xUE1gAAAAcBAAAPAAAAAAAAAAEAIAAAACIAAABkcnMvZG93bnJldi54bWxQSwEC&#10;FAAUAAAACACHTuJACJkCkvYBAADAAwAADgAAAAAAAAABACAAAAAlAQAAZHJzL2Uyb0RvYy54bWxQ&#10;SwUGAAAAAAYABgBZAQAAjQUAAAAA&#10;">
              <v:fill on="f" focussize="0,0"/>
              <v:stroke weight="0.5pt" color="#5B9BD5 [3204]" miterlimit="8" joinstyle="miter"/>
              <v:imagedata o:title=""/>
              <o:lock v:ext="edit" aspectratio="f"/>
            </v:line>
          </w:pict>
        </mc:Fallback>
      </mc:AlternateContent>
    </w:r>
    <w:r>
      <w:rPr>
        <w:sz w:val="18"/>
      </w:rPr>
      <w:pict>
        <v:shape id="PowerPlusWaterMarkObject210775" o:spid="_x0000_s2064" o:spt="136" type="#_x0000_t136" style="position:absolute;left:0pt;height:72.45pt;width:254.45pt;mso-position-horizontal:center;mso-position-horizontal-relative:margin;mso-position-vertical:center;mso-position-vertical-relative:margin;rotation:-2949120f;z-index:-251655168;mso-width-relative:page;mso-height-relative:page;" fillcolor="#C0C0C0" filled="t" stroked="f" coordsize="21600,21600" adj="10800">
          <v:path/>
          <v:fill on="t" opacity="21626f" focussize="0,0"/>
          <v:stroke on="f"/>
          <v:imagedata o:title=""/>
          <o:lock v:ext="edit" aspectratio="t"/>
          <v:textpath on="t" fitshape="t" fitpath="t" trim="t" xscale="f" string="精智科技" style="font-family:仿宋;font-size:72pt;v-same-letter-heights:f;v-text-align:center;"/>
        </v:shape>
      </w:pict>
    </w:r>
    <w:r>
      <w:rPr>
        <w:rFonts w:hint="eastAsia"/>
        <w:sz w:val="20"/>
        <w:szCs w:val="28"/>
        <w:lang w:val="en-US" w:eastAsia="zh-CN"/>
      </w:rPr>
      <w:t>山东精智信息科技有限公司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A6D9F5"/>
    <w:multiLevelType w:val="singleLevel"/>
    <w:tmpl w:val="1EA6D9F5"/>
    <w:lvl w:ilvl="0" w:tentative="0">
      <w:start w:val="2"/>
      <w:numFmt w:val="decimal"/>
      <w:suff w:val="space"/>
      <w:lvlText w:val="%1."/>
      <w:lvlJc w:val="left"/>
    </w:lvl>
  </w:abstractNum>
  <w:abstractNum w:abstractNumId="1">
    <w:nsid w:val="2F4CECB4"/>
    <w:multiLevelType w:val="singleLevel"/>
    <w:tmpl w:val="2F4CECB4"/>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zYTE0ZmU5NTJjYzFmNjdkOGE1ODVmM2Q5ZjBlMzIifQ=="/>
  </w:docVars>
  <w:rsids>
    <w:rsidRoot w:val="2DDD4597"/>
    <w:rsid w:val="23FE3445"/>
    <w:rsid w:val="2B4338AC"/>
    <w:rsid w:val="2DDD4597"/>
    <w:rsid w:val="33675CF8"/>
    <w:rsid w:val="35944047"/>
    <w:rsid w:val="69FA0ED6"/>
    <w:rsid w:val="7DE80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206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1490</Words>
  <Characters>1524</Characters>
  <Lines>0</Lines>
  <Paragraphs>0</Paragraphs>
  <TotalTime>3</TotalTime>
  <ScaleCrop>false</ScaleCrop>
  <LinksUpToDate>false</LinksUpToDate>
  <CharactersWithSpaces>1605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2023-04-04T06:07:00Z</dcterms:created>
  <dc:creator>艾玉之华</dc:creator>
  <cp:lastModifiedBy>艾玉之华</cp:lastModifiedBy>
  <dcterms:modified xsi:type="dcterms:W3CDTF">2023-05-12T06:33:59Z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D4F20CE1AA1B4741B64C4DFB738AA9FF_11</vt:lpwstr>
  </property>
</Properties>
</file>